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6624F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附件2</w:t>
      </w:r>
    </w:p>
    <w:p w14:paraId="766BC5AD">
      <w:pPr>
        <w:jc w:val="center"/>
        <w:rPr>
          <w:rFonts w:hint="eastAsia" w:ascii="黑体" w:eastAsia="黑体"/>
          <w:sz w:val="48"/>
          <w:szCs w:val="48"/>
        </w:rPr>
      </w:pPr>
      <w:r>
        <w:rPr>
          <w:rFonts w:hint="eastAsia" w:ascii="黑体" w:eastAsia="黑体"/>
          <w:sz w:val="48"/>
          <w:szCs w:val="48"/>
        </w:rPr>
        <w:t>党外知识分子联谊会工作经费</w:t>
      </w:r>
    </w:p>
    <w:p w14:paraId="0A9FFD3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t>项目支出绩效自评报告</w:t>
      </w:r>
    </w:p>
    <w:p w14:paraId="1AFBAB4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 </w:t>
      </w: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一、项目基本情况</w:t>
      </w:r>
    </w:p>
    <w:p w14:paraId="36FC7A6E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项目概况</w:t>
      </w:r>
    </w:p>
    <w:p w14:paraId="6BC1D50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1.项目决策背景</w:t>
      </w:r>
    </w:p>
    <w:p w14:paraId="2BAB031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为加强多党合作，推动党外非干部事业繁荣发展。 </w:t>
      </w:r>
    </w:p>
    <w:p w14:paraId="1168D2A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2、项目主要内容</w:t>
      </w:r>
    </w:p>
    <w:p w14:paraId="504049ED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统筹抓好全县党外知识分子联谊会的各项工作。</w:t>
      </w:r>
    </w:p>
    <w:p w14:paraId="5EA41932">
      <w:pPr>
        <w:pStyle w:val="4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 w:firstLine="320" w:firstLineChars="1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3、项目组织管理机构</w:t>
      </w:r>
    </w:p>
    <w:p w14:paraId="3AD99774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 中国共产党会同县委员会统战部本级。</w:t>
      </w:r>
    </w:p>
    <w:p w14:paraId="7CA7DB5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预算资金使用管理情况</w:t>
      </w:r>
    </w:p>
    <w:p w14:paraId="5FFC44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0" w:name="_Toc10810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1.预算资金安排及管理情况</w:t>
      </w:r>
      <w:bookmarkEnd w:id="0"/>
    </w:p>
    <w:p w14:paraId="6DE8555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（1）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资金来源及拨付流程</w:t>
      </w:r>
    </w:p>
    <w:p w14:paraId="27F930D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该项目资金纳入当年部门预算，为财政一般公共预算拨款，由财政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行政执法股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拨付。</w:t>
      </w:r>
    </w:p>
    <w:p w14:paraId="72A8CCE7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资金到位情况</w:t>
      </w:r>
    </w:p>
    <w:p w14:paraId="0343F2C1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资金一次性拨付到</w:t>
      </w:r>
      <w:bookmarkStart w:id="1" w:name="OLE_LINK1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统战部</w:t>
      </w:r>
      <w:bookmarkEnd w:id="1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，资金到位率100%，统战部按各项工作完成的进度支付。 </w:t>
      </w:r>
    </w:p>
    <w:p w14:paraId="4B428532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资金使用情况</w:t>
      </w:r>
    </w:p>
    <w:p w14:paraId="16D81AAE">
      <w:pPr>
        <w:pStyle w:val="4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2023年财政拨付党外知识分子联谊会工作经费1.9万元，实际完成1.9万元，资金到位及时率100%，资金主要用于开展党外代表人士联谊会。</w:t>
      </w:r>
    </w:p>
    <w:p w14:paraId="2FC29A2B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资金管理制度及执行情况</w:t>
      </w:r>
    </w:p>
    <w:p w14:paraId="6D09FEB2">
      <w:pPr>
        <w:pStyle w:val="4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   我单位认真履行部门“三定”方案确定的职责。在资金的使用管理过程中，建立健全了资金使用管理制度和财务管理制度，并得到有效执行，资金拨付及时到位，使用规范，基础数据信息和会计信息资料真实、完整、准确，无截留、挤占、挪用、虚列支出等情况，各项支出严格遵守财务管理制度，实行专款专用，核算明晰，并按规定内容在政府门户网站公开预、决算信息。对有关财务方面文件及时掌握，全年无政府债务发生，严格资产管理配置标准，严格按照资产处理程序办理资产处置业务，全面加强单位内控制度建设。依法接受人大、纪检、审计及财政监督，严格遵守各项财经纪律。</w:t>
      </w:r>
    </w:p>
    <w:p w14:paraId="10D1C1CC">
      <w:pPr>
        <w:pStyle w:val="4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2、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项目组织实施管理情况</w:t>
      </w:r>
    </w:p>
    <w:p w14:paraId="29E4BB36">
      <w:pPr>
        <w:pStyle w:val="4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   项目管理规范，实施程序到位。由县委统战部提出预算，县财政局进行审核，县财政局审核拨款。</w:t>
      </w:r>
    </w:p>
    <w:p w14:paraId="60E793F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51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（三）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预算绩效目标情况</w:t>
      </w:r>
    </w:p>
    <w:p w14:paraId="72BACD9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1.绩效目标</w:t>
      </w:r>
    </w:p>
    <w:p w14:paraId="578B9E6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加强多党合作，推动党外非干部事业繁荣发展 。</w:t>
      </w:r>
    </w:p>
    <w:p w14:paraId="27FD635B">
      <w:pPr>
        <w:pStyle w:val="4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绩效指标</w:t>
      </w:r>
    </w:p>
    <w:p w14:paraId="67393694">
      <w:pPr>
        <w:pStyle w:val="4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（1）数量指标：工作经费发放率100%；</w:t>
      </w:r>
    </w:p>
    <w:p w14:paraId="5EAD5626">
      <w:pPr>
        <w:pStyle w:val="4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（2）质量指标：项目绩效目标达成率100%；</w:t>
      </w:r>
    </w:p>
    <w:p w14:paraId="063CC83C">
      <w:pPr>
        <w:pStyle w:val="4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（3）时效指标：在2023年12月前完成；</w:t>
      </w:r>
    </w:p>
    <w:p w14:paraId="3C529854">
      <w:pPr>
        <w:pStyle w:val="4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（4）成本指标：控制在财政核准预算数；</w:t>
      </w:r>
    </w:p>
    <w:p w14:paraId="7D0244D3">
      <w:pPr>
        <w:pStyle w:val="4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（5）经济效益指标：保障资金使用效率；</w:t>
      </w:r>
    </w:p>
    <w:p w14:paraId="66DA868C">
      <w:pPr>
        <w:pStyle w:val="4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（6）社会效益指标：促进工作开展；</w:t>
      </w:r>
    </w:p>
    <w:p w14:paraId="0F021CAA">
      <w:pPr>
        <w:pStyle w:val="4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（7）可持续指标：推动党外非干部事业健康有序的发展；</w:t>
      </w:r>
    </w:p>
    <w:p w14:paraId="58EB2337">
      <w:pPr>
        <w:pStyle w:val="4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（8）群众满意度：服务对象满意度达到90%以上。</w:t>
      </w:r>
    </w:p>
    <w:p w14:paraId="6E6EB678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 w:leftChars="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二、绩效评价工作情况</w:t>
      </w:r>
    </w:p>
    <w:p w14:paraId="4961DD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绩效评价目的</w:t>
      </w:r>
    </w:p>
    <w:p w14:paraId="0D5AAA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验证目标指标，总结经验，为改善资金管理、纠正目标与实际的偏差提供依据。</w:t>
      </w:r>
    </w:p>
    <w:p w14:paraId="05941C4A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" w:name="_Toc11844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被评价单位、绩效评价范围与时段</w:t>
      </w:r>
      <w:bookmarkEnd w:id="2"/>
    </w:p>
    <w:p w14:paraId="2D9D2E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320" w:firstLineChars="100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被评价单位：中国共产党会同县委员会统战部，绩效评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-20"/>
          <w:kern w:val="0"/>
          <w:sz w:val="32"/>
          <w:szCs w:val="32"/>
          <w:shd w:val="clear" w:color="auto" w:fill="FFFFFF"/>
          <w:lang w:val="en-US" w:eastAsia="zh-CN" w:bidi="ar"/>
        </w:rPr>
        <w:t>价范围与时段为2023年1-12月党外知识分子联谊会工作经费。</w:t>
      </w:r>
    </w:p>
    <w:p w14:paraId="36288DFE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3" w:name="_Toc31835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绩效评价原则、评价指标体系、评价方法</w:t>
      </w:r>
      <w:bookmarkEnd w:id="3"/>
    </w:p>
    <w:p w14:paraId="06610F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-2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-20"/>
          <w:kern w:val="0"/>
          <w:sz w:val="32"/>
          <w:szCs w:val="32"/>
          <w:shd w:val="clear" w:color="auto" w:fill="FFFFFF"/>
          <w:lang w:val="en-US" w:eastAsia="zh-CN" w:bidi="ar"/>
        </w:rPr>
        <w:t xml:space="preserve"> 1、相关性原则、重要性原则、系统性原则、经济性原则。</w:t>
      </w:r>
    </w:p>
    <w:p w14:paraId="065442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2、评价指标分为产出指标、效益指标及满意度指标。</w:t>
      </w:r>
    </w:p>
    <w:p w14:paraId="5E907B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3、评价方法主要采用成本效益分析法、比较法、因素分析法、最低成本法、公众评判法等。</w:t>
      </w:r>
    </w:p>
    <w:p w14:paraId="76E3B2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4" w:name="_Toc7615"/>
      <w:bookmarkStart w:id="5" w:name="_Toc32076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三、主要绩效及评价结论</w:t>
      </w:r>
      <w:bookmarkEnd w:id="4"/>
      <w:bookmarkEnd w:id="5"/>
    </w:p>
    <w:p w14:paraId="0430DF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6" w:name="OLE_LINK3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社会效益</w:t>
      </w:r>
    </w:p>
    <w:p w14:paraId="2DCCF0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有效的促进了工作开展。</w:t>
      </w:r>
    </w:p>
    <w:p w14:paraId="23023872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-548" w:leftChars="0" w:firstLine="548" w:firstLineChars="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经济效益</w:t>
      </w:r>
    </w:p>
    <w:p w14:paraId="054E98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有效的保障资金使用效率。</w:t>
      </w:r>
    </w:p>
    <w:p w14:paraId="4B07496F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-548" w:leftChars="0" w:firstLine="548" w:firstLineChars="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可持续影响</w:t>
      </w:r>
    </w:p>
    <w:p w14:paraId="115E60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有效的推动党外非干部事业健康有序的发展；</w:t>
      </w:r>
    </w:p>
    <w:p w14:paraId="0BDD8A31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-548" w:leftChars="0" w:firstLine="548" w:firstLineChars="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满意度情况</w:t>
      </w:r>
    </w:p>
    <w:p w14:paraId="58DE63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 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服务对象满意度达到9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%。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</w:t>
      </w:r>
    </w:p>
    <w:bookmarkEnd w:id="6"/>
    <w:p w14:paraId="12500666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-548" w:leftChars="0" w:firstLine="548" w:firstLineChars="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评价结论</w:t>
      </w:r>
    </w:p>
    <w:p w14:paraId="7279EC60">
      <w:pPr>
        <w:pStyle w:val="2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2023年该项目立项符合国家法律法规；项目资金管理制度健全，资金监管措施落实到位；各项工作具体扎实，项目任务全面完成，项目实施效果显著。本次自评各项目得分98分，自评等级为“优”。</w:t>
      </w:r>
      <w:bookmarkStart w:id="7" w:name="_Toc27541"/>
      <w:bookmarkStart w:id="8" w:name="_Toc16332"/>
    </w:p>
    <w:p w14:paraId="1080A2F6">
      <w:pPr>
        <w:pStyle w:val="2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line="320" w:lineRule="exact"/>
        <w:ind w:firstLine="320" w:firstLineChars="1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四、绩效评价指标分析</w:t>
      </w:r>
      <w:bookmarkEnd w:id="7"/>
      <w:bookmarkEnd w:id="8"/>
    </w:p>
    <w:p w14:paraId="418245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9" w:name="_Toc17679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项目决策情</w:t>
      </w:r>
      <w:bookmarkEnd w:id="9"/>
      <w:bookmarkStart w:id="10" w:name="_Toc28411"/>
    </w:p>
    <w:p w14:paraId="4849C0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 1.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项目决策依据充分性。项目决策符合国家相关法律法规、国民经济发展规划和相关政策；符合行业发展规划和政策要求；与部门职责范围相符，属于部门履职所需。</w:t>
      </w:r>
    </w:p>
    <w:p w14:paraId="60D835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-20"/>
          <w:kern w:val="0"/>
          <w:sz w:val="32"/>
          <w:szCs w:val="32"/>
          <w:shd w:val="clear" w:color="auto" w:fill="FFFFFF"/>
          <w:lang w:val="en-US" w:eastAsia="zh-CN" w:bidi="ar"/>
        </w:rPr>
        <w:t>2.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项目决策程序规范性。预算支出按照规定的程序申请</w:t>
      </w:r>
      <w:r>
        <w:rPr>
          <w:rFonts w:hint="eastAsia" w:ascii="仿宋" w:hAnsi="仿宋" w:eastAsia="仿宋" w:cs="仿宋"/>
          <w:spacing w:val="-20"/>
          <w:kern w:val="2"/>
          <w:sz w:val="32"/>
          <w:szCs w:val="32"/>
          <w:lang w:val="en-US" w:eastAsia="zh-CN" w:bidi="ar-SA"/>
        </w:rPr>
        <w:t>设立；审批文件、材料符合相关要求；事前经过集体决策程序。</w:t>
      </w:r>
    </w:p>
    <w:p w14:paraId="7D04F4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项目过程情况</w:t>
      </w:r>
      <w:bookmarkEnd w:id="10"/>
    </w:p>
    <w:p w14:paraId="342035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1" w:name="_Toc10140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1.资金管理</w:t>
      </w:r>
      <w:bookmarkEnd w:id="11"/>
    </w:p>
    <w:p w14:paraId="356AF577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由单位财务按照年初预算批复，根据工作需要支出需求向财政申请经费，合理安排和使用资金。</w:t>
      </w:r>
    </w:p>
    <w:p w14:paraId="2A916E11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640" w:firstLineChars="200"/>
        <w:textAlignment w:val="auto"/>
        <w:outlineLvl w:val="2"/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</w:pPr>
      <w:bookmarkStart w:id="12" w:name="_Toc1210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项目实施</w:t>
      </w:r>
      <w:bookmarkEnd w:id="12"/>
    </w:p>
    <w:p w14:paraId="2F220CC7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420" w:firstLineChars="200"/>
        <w:textAlignment w:val="auto"/>
        <w:outlineLvl w:val="2"/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 xml:space="preserve"> 资金使用过程清晰明了，做到分工明确、权责分明、相互制约，严格按照规定使用，严格控制支出，提高资金使用效益。</w:t>
      </w:r>
    </w:p>
    <w:p w14:paraId="026DE7E8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3" w:name="_Toc6604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项目产出情况</w:t>
      </w:r>
      <w:bookmarkEnd w:id="13"/>
    </w:p>
    <w:p w14:paraId="03FEA5BD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4" w:name="_Toc20742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1.产出数量</w:t>
      </w:r>
      <w:bookmarkEnd w:id="14"/>
    </w:p>
    <w:p w14:paraId="7EF250BF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工作经费发放率</w:t>
      </w:r>
      <w:bookmarkStart w:id="15" w:name="OLE_LINK2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100%。</w:t>
      </w:r>
      <w:bookmarkEnd w:id="15"/>
    </w:p>
    <w:p w14:paraId="116CD467">
      <w:pPr>
        <w:pStyle w:val="5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 w:firstLine="320" w:firstLineChars="1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6" w:name="_Toc5372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2、产出质量</w:t>
      </w:r>
      <w:bookmarkEnd w:id="16"/>
    </w:p>
    <w:p w14:paraId="6472171A">
      <w:pPr>
        <w:pStyle w:val="5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/>
        <w:textAlignment w:val="auto"/>
        <w:outlineLvl w:val="2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项目绩效目标达成率100%。</w:t>
      </w:r>
    </w:p>
    <w:p w14:paraId="2FDCDA67">
      <w:pPr>
        <w:pStyle w:val="5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 w:firstLine="320" w:firstLineChars="1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7" w:name="_Toc25948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3、产出成本</w:t>
      </w:r>
      <w:bookmarkEnd w:id="17"/>
    </w:p>
    <w:p w14:paraId="0AA30082">
      <w:pPr>
        <w:pStyle w:val="5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/>
        <w:textAlignment w:val="auto"/>
        <w:outlineLvl w:val="2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资金按预算成本完成，无资金浪费，无超支预算。</w:t>
      </w:r>
    </w:p>
    <w:p w14:paraId="0D870E39">
      <w:pPr>
        <w:pStyle w:val="5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 w:firstLine="320" w:firstLineChars="1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8" w:name="_Toc21477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4、产出时效</w:t>
      </w:r>
      <w:bookmarkEnd w:id="18"/>
    </w:p>
    <w:p w14:paraId="5575D932">
      <w:pPr>
        <w:pStyle w:val="5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/>
        <w:textAlignment w:val="auto"/>
        <w:outlineLvl w:val="2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2023年12月之前各项资金按时发放到位。 </w:t>
      </w:r>
    </w:p>
    <w:p w14:paraId="19815C62">
      <w:pPr>
        <w:pStyle w:val="5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9" w:name="_Toc12690"/>
      <w:bookmarkStart w:id="20" w:name="_Toc3072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（四）项目效益情况</w:t>
      </w:r>
      <w:bookmarkEnd w:id="19"/>
      <w:bookmarkEnd w:id="20"/>
    </w:p>
    <w:p w14:paraId="4AC032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960" w:firstLineChars="3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1、社会效益</w:t>
      </w:r>
    </w:p>
    <w:p w14:paraId="663EA9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有效的促进了工作开展。</w:t>
      </w:r>
    </w:p>
    <w:p w14:paraId="5F35BD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960" w:firstLineChars="3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2、经济效益</w:t>
      </w:r>
    </w:p>
    <w:p w14:paraId="2AF32D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有效的保障资金使用效率。</w:t>
      </w:r>
    </w:p>
    <w:p w14:paraId="18587B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960" w:firstLineChars="3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3、可持续影响</w:t>
      </w:r>
    </w:p>
    <w:p w14:paraId="72BA85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</w:t>
      </w:r>
      <w:bookmarkStart w:id="21" w:name="OLE_LINK6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有效的推动党外非干部事业健康有序的发展</w:t>
      </w:r>
      <w:bookmarkEnd w:id="21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；</w:t>
      </w:r>
    </w:p>
    <w:p w14:paraId="26A10A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2" w:name="_Toc390096931"/>
      <w:bookmarkStart w:id="23" w:name="_Toc390267055"/>
      <w:bookmarkStart w:id="24" w:name="_Toc12414"/>
      <w:bookmarkStart w:id="25" w:name="_Toc24241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五、项目主要经验、存在的问题</w:t>
      </w:r>
      <w:bookmarkEnd w:id="22"/>
      <w:bookmarkEnd w:id="23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及建议</w:t>
      </w:r>
      <w:bookmarkEnd w:id="24"/>
      <w:bookmarkEnd w:id="25"/>
    </w:p>
    <w:p w14:paraId="549DE1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48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6" w:name="_Toc23434"/>
      <w:bookmarkStart w:id="27" w:name="_Toc5316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项目主要经验</w:t>
      </w:r>
      <w:bookmarkEnd w:id="26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及做法</w:t>
      </w:r>
      <w:bookmarkEnd w:id="27"/>
    </w:p>
    <w:p w14:paraId="6F682EED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textAlignment w:val="auto"/>
        <w:rPr>
          <w:rFonts w:hint="default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 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 目实施单位的实施人员应加强政策和业务知识的学习培训，规范使用，提高专项资金使用效率和效益。项目实施单位应根据实际需求，针对每一个项目制定工作目标，科学编制和细化预算，做到预算有目标，执行有细则，控制专项支出，分析资金结余或超支的原因，提高资金的使用效益。</w:t>
      </w:r>
    </w:p>
    <w:p w14:paraId="62CE8627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8" w:name="_Toc2597"/>
      <w:bookmarkStart w:id="29" w:name="_Toc6772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存在的问题</w:t>
      </w:r>
      <w:bookmarkEnd w:id="28"/>
      <w:bookmarkEnd w:id="29"/>
    </w:p>
    <w:p w14:paraId="2E9CA8BF">
      <w:pPr>
        <w:pStyle w:val="2"/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绩效考评办法不够完善，不够具体，可操作性不强，需进一步加强。内控管理制度不够完善，不够系统，需进一步完善和加强。</w:t>
      </w:r>
    </w:p>
    <w:p w14:paraId="58AD40AA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30" w:name="_Toc16271"/>
      <w:bookmarkStart w:id="31" w:name="_Toc29278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有关建议</w:t>
      </w:r>
      <w:bookmarkEnd w:id="30"/>
      <w:bookmarkEnd w:id="31"/>
    </w:p>
    <w:p w14:paraId="5BA3AE56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65" w:afterAutospacing="0" w:line="520" w:lineRule="exact"/>
        <w:ind w:firstLine="645"/>
        <w:textAlignment w:val="auto"/>
        <w:rPr>
          <w:rFonts w:hint="eastAsia" w:ascii="仿宋_GB2312" w:eastAsia="仿宋_GB2312"/>
          <w:kern w:val="2"/>
          <w:sz w:val="32"/>
          <w:szCs w:val="32"/>
        </w:rPr>
      </w:pPr>
      <w:r>
        <w:rPr>
          <w:rFonts w:hint="eastAsia" w:ascii="仿宋_GB2312" w:eastAsia="仿宋_GB2312"/>
          <w:kern w:val="2"/>
          <w:sz w:val="32"/>
          <w:szCs w:val="32"/>
        </w:rPr>
        <w:t>建立激励与约束机制，强化评价结果在项目申报和预算编制中的有效应用。对绩效评价结果较好的，予以表扬、优先支持或继续支持。对绩效评价发现问题、达不到绩效目标或评价结果较差的，予以通报批评，根据情况调整项目或相应调减项目预算，直至取消该项支出。</w:t>
      </w:r>
    </w:p>
    <w:p w14:paraId="602BD0D8">
      <w:pPr>
        <w:pStyle w:val="2"/>
        <w:numPr>
          <w:numId w:val="0"/>
        </w:numPr>
        <w:ind w:leftChars="200"/>
        <w:rPr>
          <w:rFonts w:hint="eastAsia"/>
        </w:rPr>
      </w:pPr>
    </w:p>
    <w:p w14:paraId="118FF25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right="0" w:firstLine="640" w:firstLineChars="200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附件：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项目支出绩效自评表</w:t>
      </w:r>
    </w:p>
    <w:p w14:paraId="4ABD958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right="0"/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</w:pPr>
    </w:p>
    <w:p w14:paraId="44A7C8B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附件2-1</w:t>
      </w:r>
    </w:p>
    <w:p w14:paraId="1BE4E0BB">
      <w:pPr>
        <w:keepNext w:val="0"/>
        <w:keepLines w:val="0"/>
        <w:pageBreakBefore w:val="0"/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atLeast"/>
        <w:ind w:left="0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项目支出绩效自评表</w:t>
      </w:r>
    </w:p>
    <w:tbl>
      <w:tblPr>
        <w:tblStyle w:val="6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149"/>
        <w:gridCol w:w="1209"/>
        <w:gridCol w:w="1134"/>
        <w:gridCol w:w="828"/>
        <w:gridCol w:w="873"/>
        <w:gridCol w:w="1418"/>
      </w:tblGrid>
      <w:tr w14:paraId="26D71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80" w:type="dxa"/>
            <w:noWrap w:val="0"/>
            <w:vAlign w:val="center"/>
          </w:tcPr>
          <w:p w14:paraId="4DFB77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项目支</w:t>
            </w:r>
          </w:p>
          <w:p w14:paraId="47D8BD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noWrap w:val="0"/>
            <w:vAlign w:val="center"/>
          </w:tcPr>
          <w:p w14:paraId="47A10B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党外知识分子联谊会工作经费　</w:t>
            </w:r>
          </w:p>
        </w:tc>
      </w:tr>
      <w:tr w14:paraId="11CD2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80" w:type="dxa"/>
            <w:noWrap w:val="0"/>
            <w:vAlign w:val="center"/>
          </w:tcPr>
          <w:p w14:paraId="6DC09F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 w14:paraId="0E2210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7C3F35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3119" w:type="dxa"/>
            <w:gridSpan w:val="3"/>
            <w:noWrap w:val="0"/>
            <w:vAlign w:val="center"/>
          </w:tcPr>
          <w:p w14:paraId="333953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中国共产党会同县委员会统战部</w:t>
            </w:r>
          </w:p>
        </w:tc>
      </w:tr>
      <w:tr w14:paraId="32304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7C4D55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noWrap w:val="0"/>
            <w:vAlign w:val="center"/>
          </w:tcPr>
          <w:p w14:paraId="0674A2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49" w:type="dxa"/>
            <w:noWrap w:val="0"/>
            <w:vAlign w:val="center"/>
          </w:tcPr>
          <w:p w14:paraId="0046BD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年初</w:t>
            </w:r>
          </w:p>
          <w:p w14:paraId="31F01F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209" w:type="dxa"/>
            <w:noWrap w:val="0"/>
            <w:vAlign w:val="center"/>
          </w:tcPr>
          <w:p w14:paraId="319261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全年</w:t>
            </w:r>
          </w:p>
          <w:p w14:paraId="133969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noWrap w:val="0"/>
            <w:vAlign w:val="center"/>
          </w:tcPr>
          <w:p w14:paraId="2C28BD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全年</w:t>
            </w:r>
          </w:p>
          <w:p w14:paraId="1C2C22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执行数</w:t>
            </w:r>
          </w:p>
        </w:tc>
        <w:tc>
          <w:tcPr>
            <w:tcW w:w="828" w:type="dxa"/>
            <w:noWrap w:val="0"/>
            <w:vAlign w:val="center"/>
          </w:tcPr>
          <w:p w14:paraId="695C96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579D4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执行率</w:t>
            </w:r>
          </w:p>
        </w:tc>
        <w:tc>
          <w:tcPr>
            <w:tcW w:w="1418" w:type="dxa"/>
            <w:noWrap w:val="0"/>
            <w:vAlign w:val="center"/>
          </w:tcPr>
          <w:p w14:paraId="599E71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得分</w:t>
            </w:r>
          </w:p>
        </w:tc>
      </w:tr>
      <w:tr w14:paraId="26C95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8F2FF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781653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年度资金总额　</w:t>
            </w:r>
          </w:p>
        </w:tc>
        <w:tc>
          <w:tcPr>
            <w:tcW w:w="1149" w:type="dxa"/>
            <w:noWrap w:val="0"/>
            <w:vAlign w:val="center"/>
          </w:tcPr>
          <w:p w14:paraId="68D26E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1.9</w:t>
            </w:r>
          </w:p>
        </w:tc>
        <w:tc>
          <w:tcPr>
            <w:tcW w:w="1209" w:type="dxa"/>
            <w:noWrap w:val="0"/>
            <w:vAlign w:val="center"/>
          </w:tcPr>
          <w:p w14:paraId="755B4E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1.9</w:t>
            </w:r>
          </w:p>
        </w:tc>
        <w:tc>
          <w:tcPr>
            <w:tcW w:w="1134" w:type="dxa"/>
            <w:noWrap w:val="0"/>
            <w:vAlign w:val="center"/>
          </w:tcPr>
          <w:p w14:paraId="163354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1.9</w:t>
            </w:r>
          </w:p>
        </w:tc>
        <w:tc>
          <w:tcPr>
            <w:tcW w:w="828" w:type="dxa"/>
            <w:noWrap w:val="0"/>
            <w:vAlign w:val="center"/>
          </w:tcPr>
          <w:p w14:paraId="546AD3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10</w:t>
            </w:r>
          </w:p>
        </w:tc>
        <w:tc>
          <w:tcPr>
            <w:tcW w:w="873" w:type="dxa"/>
            <w:noWrap w:val="0"/>
            <w:vAlign w:val="center"/>
          </w:tcPr>
          <w:p w14:paraId="30F420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418" w:type="dxa"/>
            <w:noWrap w:val="0"/>
            <w:vAlign w:val="center"/>
          </w:tcPr>
          <w:p w14:paraId="1B3951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 w14:paraId="6F9B7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CADB4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4E68E1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其中：当年财政拨款　</w:t>
            </w:r>
          </w:p>
        </w:tc>
        <w:tc>
          <w:tcPr>
            <w:tcW w:w="1149" w:type="dxa"/>
            <w:noWrap w:val="0"/>
            <w:vAlign w:val="center"/>
          </w:tcPr>
          <w:p w14:paraId="7237DE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1.9</w:t>
            </w:r>
          </w:p>
        </w:tc>
        <w:tc>
          <w:tcPr>
            <w:tcW w:w="1209" w:type="dxa"/>
            <w:noWrap w:val="0"/>
            <w:vAlign w:val="center"/>
          </w:tcPr>
          <w:p w14:paraId="6EB99B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1.9</w:t>
            </w:r>
          </w:p>
        </w:tc>
        <w:tc>
          <w:tcPr>
            <w:tcW w:w="1134" w:type="dxa"/>
            <w:noWrap w:val="0"/>
            <w:vAlign w:val="center"/>
          </w:tcPr>
          <w:p w14:paraId="5FC387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1.9</w:t>
            </w:r>
          </w:p>
        </w:tc>
        <w:tc>
          <w:tcPr>
            <w:tcW w:w="828" w:type="dxa"/>
            <w:noWrap w:val="0"/>
            <w:vAlign w:val="center"/>
          </w:tcPr>
          <w:p w14:paraId="5666BA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7B9F24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43CECF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2F40B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A209E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79B3B6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上年结转资金　</w:t>
            </w:r>
          </w:p>
        </w:tc>
        <w:tc>
          <w:tcPr>
            <w:tcW w:w="1149" w:type="dxa"/>
            <w:noWrap w:val="0"/>
            <w:vAlign w:val="center"/>
          </w:tcPr>
          <w:p w14:paraId="72D248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09" w:type="dxa"/>
            <w:noWrap w:val="0"/>
            <w:vAlign w:val="center"/>
          </w:tcPr>
          <w:p w14:paraId="1918A0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5E0D7C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0F7732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251B16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2707A7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78999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D04A0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08EB38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149" w:type="dxa"/>
            <w:noWrap w:val="0"/>
            <w:vAlign w:val="center"/>
          </w:tcPr>
          <w:p w14:paraId="05FB23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09" w:type="dxa"/>
            <w:noWrap w:val="0"/>
            <w:vAlign w:val="center"/>
          </w:tcPr>
          <w:p w14:paraId="7A6D56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5D9BCE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6ED846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0E3744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4072BE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4C2AD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6DA6F8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 w14:paraId="4789E3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253" w:type="dxa"/>
            <w:gridSpan w:val="4"/>
            <w:noWrap w:val="0"/>
            <w:vAlign w:val="center"/>
          </w:tcPr>
          <w:p w14:paraId="7E6894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实际完成情况　</w:t>
            </w:r>
          </w:p>
        </w:tc>
      </w:tr>
      <w:tr w14:paraId="2922E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4E2F4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18" w:type="dxa"/>
            <w:gridSpan w:val="4"/>
            <w:noWrap w:val="0"/>
            <w:vAlign w:val="center"/>
          </w:tcPr>
          <w:p w14:paraId="6BA567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统筹抓好全县党外知识分子联谊会的各项工作。　　</w:t>
            </w:r>
          </w:p>
        </w:tc>
        <w:tc>
          <w:tcPr>
            <w:tcW w:w="4253" w:type="dxa"/>
            <w:gridSpan w:val="4"/>
            <w:noWrap w:val="0"/>
            <w:vAlign w:val="center"/>
          </w:tcPr>
          <w:p w14:paraId="3F0619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 xml:space="preserve">加强多党合作，推动党外非干部事业繁荣发展 </w:t>
            </w:r>
          </w:p>
        </w:tc>
      </w:tr>
      <w:tr w14:paraId="2E86D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15D82B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绩</w:t>
            </w:r>
          </w:p>
          <w:p w14:paraId="6AAA90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</w:t>
            </w:r>
          </w:p>
          <w:p w14:paraId="1E6D58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</w:t>
            </w:r>
          </w:p>
          <w:p w14:paraId="7348FC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080" w:type="dxa"/>
            <w:noWrap w:val="0"/>
            <w:vAlign w:val="center"/>
          </w:tcPr>
          <w:p w14:paraId="2042AC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noWrap w:val="0"/>
            <w:vAlign w:val="center"/>
          </w:tcPr>
          <w:p w14:paraId="3D705B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149" w:type="dxa"/>
            <w:noWrap w:val="0"/>
            <w:vAlign w:val="center"/>
          </w:tcPr>
          <w:p w14:paraId="161AD6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209" w:type="dxa"/>
            <w:noWrap w:val="0"/>
            <w:vAlign w:val="center"/>
          </w:tcPr>
          <w:p w14:paraId="05BCBB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</w:t>
            </w:r>
          </w:p>
          <w:p w14:paraId="01A3DC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134" w:type="dxa"/>
            <w:noWrap w:val="0"/>
            <w:vAlign w:val="center"/>
          </w:tcPr>
          <w:p w14:paraId="2EEF8D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</w:t>
            </w:r>
          </w:p>
          <w:p w14:paraId="099709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828" w:type="dxa"/>
            <w:noWrap w:val="0"/>
            <w:vAlign w:val="center"/>
          </w:tcPr>
          <w:p w14:paraId="3016CA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769348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418" w:type="dxa"/>
            <w:noWrap w:val="0"/>
            <w:vAlign w:val="center"/>
          </w:tcPr>
          <w:p w14:paraId="56FF20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偏差原因</w:t>
            </w:r>
          </w:p>
          <w:p w14:paraId="2BA6DC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分析及</w:t>
            </w:r>
          </w:p>
          <w:p w14:paraId="74C962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改进措施</w:t>
            </w:r>
          </w:p>
        </w:tc>
      </w:tr>
      <w:tr w14:paraId="0EDBC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210265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36BAB4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产出指标</w:t>
            </w:r>
          </w:p>
          <w:p w14:paraId="71C308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50分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080" w:type="dxa"/>
            <w:noWrap w:val="0"/>
            <w:vAlign w:val="center"/>
          </w:tcPr>
          <w:p w14:paraId="68D2EF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149" w:type="dxa"/>
            <w:noWrap w:val="0"/>
            <w:vAlign w:val="center"/>
          </w:tcPr>
          <w:p w14:paraId="33437D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工作经费发放率</w:t>
            </w:r>
          </w:p>
        </w:tc>
        <w:tc>
          <w:tcPr>
            <w:tcW w:w="1209" w:type="dxa"/>
            <w:noWrap w:val="0"/>
            <w:vAlign w:val="center"/>
          </w:tcPr>
          <w:p w14:paraId="26D0C7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bookmarkStart w:id="32" w:name="OLE_LINK4"/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  <w:bookmarkEnd w:id="32"/>
          </w:p>
        </w:tc>
        <w:tc>
          <w:tcPr>
            <w:tcW w:w="1134" w:type="dxa"/>
            <w:noWrap w:val="0"/>
            <w:vAlign w:val="center"/>
          </w:tcPr>
          <w:p w14:paraId="76CD67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100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828" w:type="dxa"/>
            <w:noWrap w:val="0"/>
            <w:vAlign w:val="center"/>
          </w:tcPr>
          <w:p w14:paraId="18E29D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0F94D2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4FA2E7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55DFC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1B6D31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04B446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34D52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149" w:type="dxa"/>
            <w:noWrap w:val="0"/>
            <w:vAlign w:val="center"/>
          </w:tcPr>
          <w:p w14:paraId="582214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项目绩效目标达成率</w:t>
            </w:r>
          </w:p>
        </w:tc>
        <w:tc>
          <w:tcPr>
            <w:tcW w:w="1209" w:type="dxa"/>
            <w:noWrap w:val="0"/>
            <w:vAlign w:val="center"/>
          </w:tcPr>
          <w:p w14:paraId="189C87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100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1134" w:type="dxa"/>
            <w:noWrap w:val="0"/>
            <w:vAlign w:val="center"/>
          </w:tcPr>
          <w:p w14:paraId="2A2F6E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100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828" w:type="dxa"/>
            <w:noWrap w:val="0"/>
            <w:vAlign w:val="center"/>
          </w:tcPr>
          <w:p w14:paraId="1CB557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3D66CE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2AE5AF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6CE30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25948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5740B7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6AEF2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149" w:type="dxa"/>
            <w:noWrap w:val="0"/>
            <w:vAlign w:val="center"/>
          </w:tcPr>
          <w:p w14:paraId="7E4E3F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完成及时性</w:t>
            </w:r>
          </w:p>
        </w:tc>
        <w:tc>
          <w:tcPr>
            <w:tcW w:w="1209" w:type="dxa"/>
            <w:noWrap w:val="0"/>
            <w:vAlign w:val="center"/>
          </w:tcPr>
          <w:p w14:paraId="197DEF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2023年12月之前完成</w:t>
            </w:r>
          </w:p>
        </w:tc>
        <w:tc>
          <w:tcPr>
            <w:tcW w:w="1134" w:type="dxa"/>
            <w:noWrap w:val="0"/>
            <w:vAlign w:val="center"/>
          </w:tcPr>
          <w:p w14:paraId="6314AF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完成</w:t>
            </w:r>
          </w:p>
        </w:tc>
        <w:tc>
          <w:tcPr>
            <w:tcW w:w="828" w:type="dxa"/>
            <w:noWrap w:val="0"/>
            <w:vAlign w:val="center"/>
          </w:tcPr>
          <w:p w14:paraId="596831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73" w:type="dxa"/>
            <w:noWrap w:val="0"/>
            <w:vAlign w:val="center"/>
          </w:tcPr>
          <w:p w14:paraId="3DF394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418" w:type="dxa"/>
            <w:noWrap w:val="0"/>
            <w:vAlign w:val="center"/>
          </w:tcPr>
          <w:p w14:paraId="680FD9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75A44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1A45F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2DD837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5FB55B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149" w:type="dxa"/>
            <w:noWrap w:val="0"/>
            <w:vAlign w:val="center"/>
          </w:tcPr>
          <w:p w14:paraId="5F7F13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党外知识分子联谊会工作经费</w:t>
            </w:r>
          </w:p>
        </w:tc>
        <w:tc>
          <w:tcPr>
            <w:tcW w:w="1209" w:type="dxa"/>
            <w:noWrap w:val="0"/>
            <w:vAlign w:val="center"/>
          </w:tcPr>
          <w:p w14:paraId="76D316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1.9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万元</w:t>
            </w:r>
          </w:p>
        </w:tc>
        <w:tc>
          <w:tcPr>
            <w:tcW w:w="1134" w:type="dxa"/>
            <w:noWrap w:val="0"/>
            <w:vAlign w:val="center"/>
          </w:tcPr>
          <w:p w14:paraId="5C1416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无超支</w:t>
            </w:r>
          </w:p>
          <w:p w14:paraId="1426A0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问题</w:t>
            </w:r>
          </w:p>
        </w:tc>
        <w:tc>
          <w:tcPr>
            <w:tcW w:w="828" w:type="dxa"/>
            <w:noWrap w:val="0"/>
            <w:vAlign w:val="center"/>
          </w:tcPr>
          <w:p w14:paraId="560D55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73" w:type="dxa"/>
            <w:noWrap w:val="0"/>
            <w:vAlign w:val="center"/>
          </w:tcPr>
          <w:p w14:paraId="51DC45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418" w:type="dxa"/>
            <w:noWrap w:val="0"/>
            <w:vAlign w:val="center"/>
          </w:tcPr>
          <w:p w14:paraId="23A875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28500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04F97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id="33" w:name="OLE_LINK5" w:colFirst="4" w:colLast="5"/>
          </w:p>
        </w:tc>
        <w:tc>
          <w:tcPr>
            <w:tcW w:w="1080" w:type="dxa"/>
            <w:vMerge w:val="restart"/>
            <w:noWrap w:val="0"/>
            <w:vAlign w:val="center"/>
          </w:tcPr>
          <w:p w14:paraId="1F3E56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效益指标</w:t>
            </w:r>
          </w:p>
          <w:p w14:paraId="253B4A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（30分）</w:t>
            </w:r>
          </w:p>
        </w:tc>
        <w:tc>
          <w:tcPr>
            <w:tcW w:w="1080" w:type="dxa"/>
            <w:noWrap w:val="0"/>
            <w:vAlign w:val="center"/>
          </w:tcPr>
          <w:p w14:paraId="43FFC8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经济效</w:t>
            </w:r>
          </w:p>
          <w:p w14:paraId="081DAC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3671FF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经济效益情况</w:t>
            </w:r>
          </w:p>
        </w:tc>
        <w:tc>
          <w:tcPr>
            <w:tcW w:w="1209" w:type="dxa"/>
            <w:noWrap w:val="0"/>
            <w:vAlign w:val="center"/>
          </w:tcPr>
          <w:p w14:paraId="10C36F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效果明显</w:t>
            </w:r>
          </w:p>
        </w:tc>
        <w:tc>
          <w:tcPr>
            <w:tcW w:w="1134" w:type="dxa"/>
            <w:noWrap w:val="0"/>
            <w:vAlign w:val="center"/>
          </w:tcPr>
          <w:p w14:paraId="1866C7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效果明显</w:t>
            </w:r>
          </w:p>
        </w:tc>
        <w:tc>
          <w:tcPr>
            <w:tcW w:w="828" w:type="dxa"/>
            <w:noWrap w:val="0"/>
            <w:vAlign w:val="center"/>
          </w:tcPr>
          <w:p w14:paraId="15E0B8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3B936B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418" w:type="dxa"/>
            <w:noWrap w:val="0"/>
            <w:vAlign w:val="center"/>
          </w:tcPr>
          <w:p w14:paraId="613BAA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bookmarkEnd w:id="33"/>
      <w:tr w14:paraId="69FBD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C0E04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4E6706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60101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社会效</w:t>
            </w:r>
          </w:p>
          <w:p w14:paraId="67B4B7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7B32BA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促进工作开展</w:t>
            </w:r>
          </w:p>
        </w:tc>
        <w:tc>
          <w:tcPr>
            <w:tcW w:w="1209" w:type="dxa"/>
            <w:shd w:val="clear"/>
            <w:noWrap w:val="0"/>
            <w:vAlign w:val="center"/>
          </w:tcPr>
          <w:p w14:paraId="592789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效果明显</w:t>
            </w:r>
          </w:p>
        </w:tc>
        <w:tc>
          <w:tcPr>
            <w:tcW w:w="1134" w:type="dxa"/>
            <w:shd w:val="clear"/>
            <w:noWrap w:val="0"/>
            <w:vAlign w:val="center"/>
          </w:tcPr>
          <w:p w14:paraId="217CC9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效果明显</w:t>
            </w:r>
          </w:p>
        </w:tc>
        <w:tc>
          <w:tcPr>
            <w:tcW w:w="828" w:type="dxa"/>
            <w:noWrap w:val="0"/>
            <w:vAlign w:val="center"/>
          </w:tcPr>
          <w:p w14:paraId="0E9F1B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055036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1418CE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2AD7C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4AE2E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3D1A63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5D8E73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生态效</w:t>
            </w:r>
          </w:p>
          <w:p w14:paraId="43C875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68AB58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不适用</w:t>
            </w:r>
          </w:p>
        </w:tc>
        <w:tc>
          <w:tcPr>
            <w:tcW w:w="1209" w:type="dxa"/>
            <w:noWrap w:val="0"/>
            <w:vAlign w:val="center"/>
          </w:tcPr>
          <w:p w14:paraId="418B6F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729B24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16C63D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5FC51C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50DC65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529D8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5009D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7BA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7759F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149" w:type="dxa"/>
            <w:noWrap w:val="0"/>
            <w:vAlign w:val="center"/>
          </w:tcPr>
          <w:p w14:paraId="79ADD7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有效的推动党外非干部事业健康有序的发展</w:t>
            </w:r>
          </w:p>
        </w:tc>
        <w:tc>
          <w:tcPr>
            <w:tcW w:w="1209" w:type="dxa"/>
            <w:noWrap w:val="0"/>
            <w:vAlign w:val="center"/>
          </w:tcPr>
          <w:p w14:paraId="164D4D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效果明显</w:t>
            </w:r>
          </w:p>
        </w:tc>
        <w:tc>
          <w:tcPr>
            <w:tcW w:w="1134" w:type="dxa"/>
            <w:noWrap w:val="0"/>
            <w:vAlign w:val="center"/>
          </w:tcPr>
          <w:p w14:paraId="57503E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效果明显</w:t>
            </w:r>
          </w:p>
        </w:tc>
        <w:tc>
          <w:tcPr>
            <w:tcW w:w="828" w:type="dxa"/>
            <w:noWrap w:val="0"/>
            <w:vAlign w:val="center"/>
          </w:tcPr>
          <w:p w14:paraId="6C0ED3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3CE4DB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418" w:type="dxa"/>
            <w:noWrap w:val="0"/>
            <w:vAlign w:val="center"/>
          </w:tcPr>
          <w:p w14:paraId="2C507D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6AC37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9A02D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46F84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满意度</w:t>
            </w:r>
          </w:p>
          <w:p w14:paraId="4FAE3E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  <w:p w14:paraId="6FF0B5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noWrap w:val="0"/>
            <w:vAlign w:val="center"/>
          </w:tcPr>
          <w:p w14:paraId="7E9E7A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149" w:type="dxa"/>
            <w:noWrap w:val="0"/>
            <w:vAlign w:val="center"/>
          </w:tcPr>
          <w:p w14:paraId="43BC5A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使用人员满意度</w:t>
            </w:r>
          </w:p>
        </w:tc>
        <w:tc>
          <w:tcPr>
            <w:tcW w:w="1209" w:type="dxa"/>
            <w:noWrap w:val="0"/>
            <w:vAlign w:val="center"/>
          </w:tcPr>
          <w:p w14:paraId="0C36E8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≧90%</w:t>
            </w:r>
          </w:p>
        </w:tc>
        <w:tc>
          <w:tcPr>
            <w:tcW w:w="1134" w:type="dxa"/>
            <w:shd w:val="clear"/>
            <w:noWrap w:val="0"/>
            <w:vAlign w:val="center"/>
          </w:tcPr>
          <w:p w14:paraId="4E3B4F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95%</w:t>
            </w:r>
          </w:p>
        </w:tc>
        <w:tc>
          <w:tcPr>
            <w:tcW w:w="828" w:type="dxa"/>
            <w:shd w:val="clear"/>
            <w:noWrap w:val="0"/>
            <w:vAlign w:val="center"/>
          </w:tcPr>
          <w:p w14:paraId="19C965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shd w:val="clear"/>
            <w:noWrap w:val="0"/>
            <w:vAlign w:val="center"/>
          </w:tcPr>
          <w:p w14:paraId="6D6536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0B30FD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4F957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32" w:type="dxa"/>
            <w:gridSpan w:val="6"/>
            <w:noWrap w:val="0"/>
            <w:vAlign w:val="center"/>
          </w:tcPr>
          <w:p w14:paraId="4950C6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828" w:type="dxa"/>
            <w:noWrap w:val="0"/>
            <w:vAlign w:val="center"/>
          </w:tcPr>
          <w:p w14:paraId="3EEE8F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873" w:type="dxa"/>
            <w:noWrap w:val="0"/>
            <w:vAlign w:val="center"/>
          </w:tcPr>
          <w:p w14:paraId="2E745A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98</w:t>
            </w:r>
            <w:bookmarkStart w:id="34" w:name="_GoBack"/>
            <w:bookmarkEnd w:id="34"/>
          </w:p>
        </w:tc>
        <w:tc>
          <w:tcPr>
            <w:tcW w:w="1418" w:type="dxa"/>
            <w:noWrap w:val="0"/>
            <w:vAlign w:val="center"/>
          </w:tcPr>
          <w:p w14:paraId="6BF8B4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 w14:paraId="122F7526">
      <w:pPr>
        <w:widowControl w:val="0"/>
        <w:kinsoku/>
        <w:autoSpaceDE/>
        <w:autoSpaceDN/>
        <w:adjustRightInd/>
        <w:snapToGrid/>
        <w:spacing w:line="600" w:lineRule="exact"/>
        <w:jc w:val="both"/>
        <w:textAlignment w:val="auto"/>
        <w:rPr>
          <w:rFonts w:hint="default"/>
          <w:lang w:val="en-US" w:eastAsia="zh-CN"/>
        </w:rPr>
      </w:pP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填表人：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          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填报日期：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            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联系电话：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</w:p>
    <w:p w14:paraId="0718B62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B39459"/>
    <w:multiLevelType w:val="singleLevel"/>
    <w:tmpl w:val="89B39459"/>
    <w:lvl w:ilvl="0" w:tentative="0">
      <w:start w:val="2"/>
      <w:numFmt w:val="chineseCounting"/>
      <w:suff w:val="nothing"/>
      <w:lvlText w:val="（%1）"/>
      <w:lvlJc w:val="left"/>
      <w:pPr>
        <w:ind w:left="-548"/>
      </w:pPr>
      <w:rPr>
        <w:rFonts w:hint="eastAsia"/>
      </w:rPr>
    </w:lvl>
  </w:abstractNum>
  <w:abstractNum w:abstractNumId="1">
    <w:nsid w:val="A409017F"/>
    <w:multiLevelType w:val="singleLevel"/>
    <w:tmpl w:val="A409017F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FAFDE646"/>
    <w:multiLevelType w:val="singleLevel"/>
    <w:tmpl w:val="FAFDE646"/>
    <w:lvl w:ilvl="0" w:tentative="0">
      <w:start w:val="2"/>
      <w:numFmt w:val="decimal"/>
      <w:suff w:val="nothing"/>
      <w:lvlText w:val="（%1）"/>
      <w:lvlJc w:val="left"/>
    </w:lvl>
  </w:abstractNum>
  <w:abstractNum w:abstractNumId="3">
    <w:nsid w:val="1DE26690"/>
    <w:multiLevelType w:val="singleLevel"/>
    <w:tmpl w:val="1DE26690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2F0893EE"/>
    <w:multiLevelType w:val="singleLevel"/>
    <w:tmpl w:val="2F0893E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Q1N2JhNWMzMzM5ZmEyZGVhZmU1MjIzMmY5ZDE4NmEifQ=="/>
  </w:docVars>
  <w:rsids>
    <w:rsidRoot w:val="00000000"/>
    <w:rsid w:val="000B69F1"/>
    <w:rsid w:val="066C0ED0"/>
    <w:rsid w:val="1A942223"/>
    <w:rsid w:val="21D30E87"/>
    <w:rsid w:val="25582D92"/>
    <w:rsid w:val="275579B7"/>
    <w:rsid w:val="286368DF"/>
    <w:rsid w:val="40222FC9"/>
    <w:rsid w:val="48FD7CFE"/>
    <w:rsid w:val="534327A1"/>
    <w:rsid w:val="658F2719"/>
    <w:rsid w:val="6B74168B"/>
    <w:rsid w:val="7A5C3F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unhideWhenUsed/>
    <w:qFormat/>
    <w:uiPriority w:val="99"/>
    <w:pPr>
      <w:spacing w:before="120" w:after="200" w:line="276" w:lineRule="auto"/>
    </w:pPr>
    <w:rPr>
      <w:rFonts w:hint="eastAsia" w:ascii="Arial" w:hAnsi="Arial"/>
      <w:sz w:val="24"/>
    </w:rPr>
  </w:style>
  <w:style w:type="paragraph" w:styleId="3">
    <w:name w:val="Body Text Indent"/>
    <w:basedOn w:val="1"/>
    <w:unhideWhenUsed/>
    <w:qFormat/>
    <w:uiPriority w:val="0"/>
    <w:pPr>
      <w:spacing w:beforeLines="0" w:afterLines="0"/>
      <w:ind w:firstLine="640" w:firstLineChars="200"/>
    </w:pPr>
    <w:rPr>
      <w:rFonts w:hint="default"/>
      <w:sz w:val="32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Body Text First Indent 2"/>
    <w:basedOn w:val="3"/>
    <w:unhideWhenUsed/>
    <w:qFormat/>
    <w:uiPriority w:val="99"/>
    <w:pPr>
      <w:spacing w:beforeLines="0" w:afterLines="0"/>
      <w:ind w:firstLine="420"/>
    </w:pPr>
    <w:rPr>
      <w:rFonts w:hint="default"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801</Words>
  <Characters>823</Characters>
  <Lines>0</Lines>
  <Paragraphs>0</Paragraphs>
  <TotalTime>1</TotalTime>
  <ScaleCrop>false</ScaleCrop>
  <LinksUpToDate>false</LinksUpToDate>
  <CharactersWithSpaces>999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2024-09-29T09:16:21Z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3044276125934283BE916478040BD4B1_12</vt:lpwstr>
  </property>
</Properties>
</file>